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color w:val="434343"/>
          <w:sz w:val="20"/>
          <w:szCs w:val="20"/>
          <w:rtl w:val="0"/>
        </w:rPr>
        <w:t xml:space="preserve">Řešení</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Jedná se o diskriminaci z důvodu věku v oblasti přístupu k finančním službám. (Příklad vychází z Výzkumu dostupnosti finančních služeb pro seniory z roku 2013. Stanovisko ochránce k poskytování finančních služeb seniorům zní: </w:t>
      </w:r>
      <w:r w:rsidDel="00000000" w:rsidR="00000000" w:rsidRPr="00000000">
        <w:rPr>
          <w:i w:val="1"/>
          <w:color w:val="434343"/>
          <w:sz w:val="20"/>
          <w:szCs w:val="20"/>
          <w:rtl w:val="0"/>
        </w:rPr>
        <w:t xml:space="preserve">“Pokud je poskytování služeb krátkodobého charakteru, jako je např. Poskytování kreditních karet, krátkodobých spotřebitelstkých úvěrů, kontokorentu, cestovního pojištění, pojištění schopnosti splácet u krátkodobých úvěrových produktů či pojištění vozidel, omezeno horní věkovou hranicí, jedná se o diskriminaci založenou na věku.” </w:t>
      </w:r>
      <w:r w:rsidDel="00000000" w:rsidR="00000000" w:rsidRPr="00000000">
        <w:rPr>
          <w:color w:val="434343"/>
          <w:sz w:val="20"/>
          <w:szCs w:val="20"/>
          <w:rtl w:val="0"/>
        </w:rPr>
        <w:t xml:space="preserve">str.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Jedná se o diskriminaci z důvodu pohlaví v přístupu k zaměstnání. Firma poptává výslovně muže i na pozici, kterou by mohla vykonávat žena. Rozhodující by měla být kvalifikace uchazečů, nikoliv jejich pohlaví.</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Nejedná se o diskriminaci. V tomto případě je požadavek zpěváka-muže odůvodnitelný. Jedná se o pozici v profesionálním mužském sboru. Diskriminace by např. nebyla ani případ, kdy je poptávána modelka-žena na předvádění ženského spodního prádla.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Jedná se o diskriminaci z důvodu etnické příslušnosti v přístupu ke službám. Restaurace nabízí svoje služby veřejnosti a měla by je nabízet bez rozdílu. Číšník může odmítnout nalít podnapilému či agresivnímu člověku, který ohrožuje ostatní hosty. Nelze však odmítnout někoho pouze proto, že je 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Nejedná se o diskriminaci, rodiče sice odrazují syna od přátelství z důvodu náboženství, ale jedná se o soukromou věc. Přátelství nespadá do žádné z chráněných oblastí. Kamarádit se můžeme s kým chceme.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Jedná se o diskriminaci z důvodu rasy v oblasti přístupu ke službám (bydlení). Majitel bytu má právo vybrat si, komu byt pronajme, ale vyloučit někoho předem pouze na základě etnického původu nelze. Pokud má majitel obavy, zda bude nájemník/nájemnice platit, může požadovat složení kauce.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Nejedná se o diskriminaci. Profesorka sice odmítla Kamila s tím, že je moc mladý, ale nenacházíme zde žádnou chráněnou oblast. Je na nás, s kým chceme navazovat vztah a s kým 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34343"/>
          <w:sz w:val="20"/>
          <w:szCs w:val="20"/>
        </w:rPr>
      </w:pPr>
      <w:r w:rsidDel="00000000" w:rsidR="00000000" w:rsidRPr="00000000">
        <w:rPr>
          <w:color w:val="434343"/>
          <w:sz w:val="20"/>
          <w:szCs w:val="20"/>
          <w:rtl w:val="0"/>
        </w:rPr>
        <w:t xml:space="preserve">Jedná se o diskriminaci z důvodu zdravotního postižení v oblasti vzdělávání. Mirka má právo na to vzdělávat se s ostatními dětmi, argument toho, že jsou první třídy ve třetím patře není pádný. Třída může být přesunuta do přízemí.</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