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Správné řešení:</w:t>
      </w:r>
    </w:p>
    <w:p w:rsidR="00000000" w:rsidDel="00000000" w:rsidP="00000000" w:rsidRDefault="00000000" w:rsidRPr="00000000">
      <w:pPr>
        <w:spacing w:after="180" w:line="339.5368421052632" w:lineRule="auto"/>
        <w:contextualSpacing w:val="0"/>
        <w:jc w:val="both"/>
      </w:pPr>
      <w:r w:rsidDel="00000000" w:rsidR="00000000" w:rsidRPr="00000000">
        <w:rPr>
          <w:b w:val="1"/>
          <w:color w:val="394a58"/>
          <w:highlight w:val="white"/>
          <w:rtl w:val="0"/>
        </w:rPr>
        <w:t xml:space="preserve">a2II; b4V; c5I; d3VI; e6III; f1IV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Zdůvodnění:</w:t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Diskriminace může být přímá nebo nepřímá.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Přímou diskriminací je jednání, při němž se s jednou osobou zachází méně příznivě, než s jinou ve srovnatelné situaci, a to z důvodů, které zákon zakazuje. </w:t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Příklady: na práci s vysokozdvižným vozíkem ve skladu odmítne zaměstnavatel ženu, která má potřebnou kvalifikaci, s odůvodněním, že ženy na tuto práci nepřijímá.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Nepřímou diskriminací je jednání, při němž se s někým zachází méně příznivě na základě kritéria, které je zdánlivě neutrální. </w:t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Příklady: restaurace vyhlásí bezvýjimečný zákaz vstupu psů, čímž zakáže vstup osobám se zdravotním postižením, které využívají vodicí nebo asistenční psy; </w:t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V určitých případech je možné nepřímou diskriminaci odůvodnit rozumným cílem, ovšem i prostředky k jeho dosažení musí být přiměřené a nezbytné. </w:t>
      </w:r>
    </w:p>
    <w:p w:rsidR="00000000" w:rsidDel="00000000" w:rsidP="00000000" w:rsidRDefault="00000000" w:rsidRPr="00000000">
      <w:pPr>
        <w:spacing w:after="180" w:line="293.23636363636365" w:lineRule="auto"/>
        <w:contextualSpacing w:val="0"/>
        <w:jc w:val="both"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Za diskriminaci se považuje také obtěžování (včetně sexuálního obtěžování), pronásledování, pokyn k diskriminaci a navádění k diskriminaci.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Obtěžováním</w:t>
      </w: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 se rozumí chování, jehož záměrem nebo důsledkem je snížení důstojnosti jiné osoby a vytvoření zastrašujícího, nepřátelského, ponižujícího nebo urážlivého prostředí. Obtěžováním je i jednání, které může být vnímáno jako podmínka určitého rozhodnutí. Pokud má sexuální povahu, jedná se o sexuální obtěžování. 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(Příklady: umístění vtipů o Romech na nástěnce může obtěžovat romské zaměstnance; vedoucí podmíní rozhodnutí o povýšení zaměstnankyně tím, že s ním půjde na večeři (může jít o sexuální obtěžování).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Pronásledováním</w:t>
      </w: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 je nepříznivé zacházení, postih nebo znevýhodnění jako reakce na to, že osoba uplatnila své právo podle antidiskriminačního zákona. 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(Příklad: zaměstnavatel dá výpověď zaměstnanci za to, že podal žalobu na diskriminaci.)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Pokynem k diskriminaci</w:t>
      </w: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 je zneužití podřízeného k diskriminaci třetí osoby. 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(Příklad: Vedoucí hudebního klubu nařídí vyhazovači, aby do klubu nepouštěl Vietnamce.)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80" w:line="339.5368421052632" w:lineRule="auto"/>
        <w:ind w:left="720" w:hanging="360"/>
        <w:contextualSpacing w:val="1"/>
        <w:jc w:val="both"/>
        <w:rPr/>
      </w:pPr>
      <w:r w:rsidDel="00000000" w:rsidR="00000000" w:rsidRPr="00000000">
        <w:rPr>
          <w:b w:val="1"/>
          <w:color w:val="394a58"/>
          <w:sz w:val="19"/>
          <w:szCs w:val="19"/>
          <w:highlight w:val="white"/>
          <w:rtl w:val="0"/>
        </w:rPr>
        <w:t xml:space="preserve">Navádění k diskriminaci</w:t>
      </w:r>
      <w:r w:rsidDel="00000000" w:rsidR="00000000" w:rsidRPr="00000000">
        <w:rPr>
          <w:color w:val="394a58"/>
          <w:sz w:val="19"/>
          <w:szCs w:val="19"/>
          <w:highlight w:val="white"/>
          <w:rtl w:val="0"/>
        </w:rPr>
        <w:t xml:space="preserve"> se dopouští ten, kdo někoho přesvědčuje nebo podněcuje, aby diskriminoval jinou osobu. (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Příklad: Číšník nabádá svého kolegu, aby neobsluhoval romské hosty. //Naváděním k diskriminaci v právním slova smyslu však </w:t>
      </w:r>
      <w:r w:rsidDel="00000000" w:rsidR="00000000" w:rsidRPr="00000000">
        <w:rPr>
          <w:b w:val="1"/>
          <w:i w:val="1"/>
          <w:color w:val="394a58"/>
          <w:sz w:val="19"/>
          <w:szCs w:val="19"/>
          <w:highlight w:val="white"/>
          <w:rtl w:val="0"/>
        </w:rPr>
        <w:t xml:space="preserve">není</w:t>
      </w:r>
      <w:r w:rsidDel="00000000" w:rsidR="00000000" w:rsidRPr="00000000">
        <w:rPr>
          <w:i w:val="1"/>
          <w:color w:val="394a58"/>
          <w:sz w:val="19"/>
          <w:szCs w:val="19"/>
          <w:highlight w:val="white"/>
          <w:rtl w:val="0"/>
        </w:rPr>
        <w:t xml:space="preserve"> např. přesvědčování někoho, aby nenakupoval u vietnamských trhovců, přemlouvání potomka, aby si nebral za manžela/manželku osobu tmavé barvy pleti, ani upozorňování rodičů, aby si jejich děti nehrály s romskými dětmi, jakkoliv toto jednání může být morálně odsouzeníhodné.)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94a58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94a58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94a58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