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80" w:line="339.5368421052632" w:lineRule="auto"/>
        <w:contextualSpacing w:val="0"/>
        <w:jc w:val="both"/>
      </w:pPr>
      <w:r w:rsidDel="00000000" w:rsidR="00000000" w:rsidRPr="00000000">
        <w:rPr>
          <w:b w:val="1"/>
          <w:color w:val="394a58"/>
          <w:highlight w:val="white"/>
          <w:rtl w:val="0"/>
        </w:rPr>
        <w:t xml:space="preserve">Spojte definice s pojmy, přiřaďte příklady situací a zkuste vymyslet vlastní příklady.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jednání, při němž se s jednou osobou zachází méně příznivě než s jinou ve srovnatelné situaci, a to z důvodů, které zákon zakazuje.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jednání, při němž se s někým zachází méně příznivě na základě kritéria, které je zdánlivě neutrální.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chování, jehož záměrem nebo důsledkem je snížení důstojnosti jiné osoby a vytvoření zastrašujícího, nepřátelského, ponižujícího nebo urážlivého prostředí. …….. je i jednání, které může být vnímáno jako podmínka určitého rozhodnutí. Pokud má sexuální povahu, jedná se o sexuální ……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nepříznivé zacházení, postih nebo znevýhodnění jako reakce na to, že osoba uplatnila své právo podle antidiskriminačního zákona.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zneužití podřízeného k diskriminaci třetí osoby.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přesvědčování nebo podněcování k diskriminaci jiné osoby.</w:t>
      </w:r>
    </w:p>
    <w:p w:rsidR="00000000" w:rsidDel="00000000" w:rsidP="00000000" w:rsidRDefault="00000000" w:rsidRPr="00000000">
      <w:pPr>
        <w:spacing w:after="180" w:line="339.536842105263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293.23636363636365" w:lineRule="auto"/>
        <w:ind w:left="720" w:hanging="360"/>
        <w:contextualSpacing w:val="1"/>
        <w:jc w:val="both"/>
        <w:rPr>
          <w:i w:val="1"/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Číšník nabádá svého kolegu, aby neobsluhoval romské hosty.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293.23636363636365" w:lineRule="auto"/>
        <w:ind w:left="720" w:hanging="360"/>
        <w:contextualSpacing w:val="1"/>
        <w:jc w:val="both"/>
        <w:rPr>
          <w:i w:val="1"/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Na práci s vysokozdvižným vozíkem ve skladu odmítne zaměstnavatel ženu, která má potřebnou kvalifikaci, s odůvodněním, že ženy na tuto práci nepřijímá.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293.23636363636365" w:lineRule="auto"/>
        <w:ind w:left="720" w:hanging="360"/>
        <w:contextualSpacing w:val="1"/>
        <w:jc w:val="both"/>
        <w:rPr>
          <w:i w:val="1"/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Zaměstnavatel dá výpověď zaměstnanci za to, že podal žalobu na diskriminaci.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293.23636363636365" w:lineRule="auto"/>
        <w:ind w:left="720" w:hanging="360"/>
        <w:contextualSpacing w:val="1"/>
        <w:jc w:val="both"/>
        <w:rPr>
          <w:i w:val="1"/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Restaurace vyhlásí bezvýjimečný zákaz vstupu psů, čímž zakáže vstup osobám se zdravotním postižením, které využívají vodicí nebo asistenční psy;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339.5368421052632" w:lineRule="auto"/>
        <w:ind w:left="720" w:hanging="360"/>
        <w:contextualSpacing w:val="1"/>
        <w:jc w:val="both"/>
        <w:rPr>
          <w:i w:val="1"/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U</w:t>
      </w: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místění vtipů o Romech na nástěnce. // Vedoucí podmíní rozhodnutí o povýšení zaměstnankyně tím, že s ním půjde na večeři.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339.5368421052632" w:lineRule="auto"/>
        <w:ind w:left="720" w:hanging="360"/>
        <w:contextualSpacing w:val="1"/>
        <w:jc w:val="both"/>
        <w:rPr>
          <w:i w:val="1"/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Vedoucí hudebního klubu nařídí vyhazovači, aby do klubu nepouštěl Vietnamce.</w:t>
      </w:r>
    </w:p>
    <w:p w:rsidR="00000000" w:rsidDel="00000000" w:rsidP="00000000" w:rsidRDefault="00000000" w:rsidRPr="00000000">
      <w:pPr>
        <w:spacing w:after="180" w:line="339.536842105263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Obtěžování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Přímá diskriminace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Pokyn k diskriminaci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Navádění k diskriminaci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Nepřímá diskriminace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80" w:line="339.5368421052632" w:lineRule="auto"/>
        <w:ind w:left="720" w:hanging="360"/>
        <w:contextualSpacing w:val="1"/>
        <w:jc w:val="both"/>
        <w:rPr>
          <w:color w:val="394a58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Pronásledování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